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64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Утверждаю</w:t>
      </w:r>
    </w:p>
    <w:p w14:paraId="02000000">
      <w:pPr>
        <w:spacing w:after="0" w:line="264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«</w:t>
      </w:r>
      <w:r>
        <w:rPr>
          <w:rFonts w:ascii="Times New Roman" w:hAnsi="Times New Roman"/>
          <w:sz w:val="24"/>
        </w:rPr>
        <w:t>Малошемякинская</w:t>
      </w:r>
      <w:r>
        <w:rPr>
          <w:rFonts w:ascii="Times New Roman" w:hAnsi="Times New Roman"/>
          <w:sz w:val="24"/>
        </w:rPr>
        <w:t xml:space="preserve"> НОШ – детский сад»                                                                                                                            __________</w:t>
      </w:r>
      <w:r>
        <w:rPr>
          <w:rFonts w:ascii="Times New Roman" w:hAnsi="Times New Roman"/>
          <w:sz w:val="24"/>
        </w:rPr>
        <w:t>О.Д.Афанасьева</w:t>
      </w:r>
    </w:p>
    <w:p w14:paraId="03000000">
      <w:pPr>
        <w:spacing w:after="0" w:line="264" w:lineRule="auto"/>
        <w:ind/>
        <w:rPr>
          <w:rFonts w:ascii="Times New Roman" w:hAnsi="Times New Roman"/>
          <w:sz w:val="24"/>
        </w:rPr>
      </w:pPr>
    </w:p>
    <w:p w14:paraId="04000000">
      <w:pPr>
        <w:spacing w:after="0" w:line="264" w:lineRule="auto"/>
        <w:ind/>
        <w:jc w:val="center"/>
        <w:rPr>
          <w:rFonts w:ascii="Times New Roman" w:hAnsi="Times New Roman"/>
          <w:sz w:val="24"/>
        </w:rPr>
      </w:pPr>
      <w:r>
        <w:rPr>
          <w:sz w:val="20"/>
        </w:rPr>
        <mc:AlternateContent>
          <mc:Choice Requires="wpg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3583685</wp:posOffset>
                </wp:positionH>
                <wp:positionV relativeFrom="paragraph">
                  <wp:posOffset>285941</wp:posOffset>
                </wp:positionV>
                <wp:extent cx="1889125" cy="647065"/>
                <wp:wrapTopAndBottom distB="0" distT="0"/>
                <wp:docPr hidden="false" id="1" name="Picture 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889125" cy="647065"/>
                          <a:chOff x="0" y="0"/>
                          <a:chExt cx="1889125" cy="64706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889" y="889"/>
                            <a:ext cx="1887854" cy="64579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887855" name="ODFRight"/>
                              <a:gd fmla="val 645795" name="ODFBottom"/>
                              <a:gd fmla="val 1887855" name="ODFWidth"/>
                              <a:gd fmla="val 645795" name="ODFHeight"/>
                            </a:gdLst>
                            <a:rect b="OXMLTextRectB" l="OXMLTextRectL" r="OXMLTextRectR" t="OXMLTextRectT"/>
                            <a:pathLst>
                              <a:path fill="norm" h="645795" stroke="true" w="1887855">
                                <a:moveTo>
                                  <a:pt x="1887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5210"/>
                                </a:lnTo>
                                <a:lnTo>
                                  <a:pt x="1887347" y="645210"/>
                                </a:lnTo>
                                <a:lnTo>
                                  <a:pt x="188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>
                              <a:alpha val="47058"/>
                            </a:srgbClr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2384" y="31610"/>
                            <a:ext cx="1824989" cy="58420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824989" name="ODFRight"/>
                              <a:gd fmla="val 584200" name="ODFBottom"/>
                              <a:gd fmla="val 1824989" name="ODFWidth"/>
                              <a:gd fmla="val 584200" name="ODFHeight"/>
                            </a:gdLst>
                            <a:rect b="OXMLTextRectB" l="OXMLTextRectL" r="OXMLTextRectR" t="OXMLTextRectT"/>
                            <a:pathLst>
                              <a:path fill="norm" h="584200" stroke="true" w="1824989">
                                <a:moveTo>
                                  <a:pt x="0" y="583882"/>
                                </a:moveTo>
                                <a:lnTo>
                                  <a:pt x="1824481" y="583882"/>
                                </a:lnTo>
                                <a:lnTo>
                                  <a:pt x="18244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882"/>
                                </a:lnTo>
                                <a:close/>
                              </a:path>
                            </a:pathLst>
                          </a:custGeom>
                          <a:ln w="18364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889" y="889"/>
                            <a:ext cx="1887854" cy="645795"/>
                          </a:xfrm>
                          <a:prstGeom prst="rect">
                            <a:avLst/>
                          </a:prstGeom>
                          <a:ln w="1777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000000">
                              <w:pPr>
                                <w:spacing w:before="92" w:line="192" w:lineRule="auto"/>
                                <w:ind w:firstLine="0" w:left="270" w:right="315"/>
                                <w:jc w:val="left"/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0"/>
                                  <w:sz w:val="21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0"/>
                                  <w:sz w:val="21"/>
                                </w:rPr>
                                <w:t>Подписано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0"/>
                                  <w:sz w:val="21"/>
                                </w:rPr>
                                <w:t xml:space="preserve">цифровой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-2"/>
                                  <w:sz w:val="21"/>
                                </w:rPr>
                                <w:t xml:space="preserve">подписью: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0"/>
                                  <w:sz w:val="21"/>
                                </w:rPr>
                                <w:t xml:space="preserve">Афанасьева Ольга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color w:val="000000"/>
                                  <w:spacing w:val="-2"/>
                                  <w:sz w:val="21"/>
                                </w:rPr>
                                <w:t>Дмитриевна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6000000">
      <w:pPr>
        <w:spacing w:after="0" w:line="264" w:lineRule="auto"/>
        <w:ind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 </w:t>
      </w:r>
      <w:r>
        <w:rPr>
          <w:rFonts w:ascii="Times New Roman" w:hAnsi="Times New Roman"/>
          <w:b w:val="1"/>
          <w:sz w:val="28"/>
        </w:rPr>
        <w:t>спортивно-массовых</w:t>
      </w:r>
      <w:r>
        <w:rPr>
          <w:rFonts w:ascii="Times New Roman" w:hAnsi="Times New Roman"/>
          <w:b w:val="1"/>
          <w:sz w:val="28"/>
        </w:rPr>
        <w:t>, физкультурно-спортивных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социально-значимых мероприятий на 2025-2026 учебный год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Цель:</w:t>
      </w:r>
    </w:p>
    <w:p w14:paraId="0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сознательного отношения к здоровому образу жизни, вовлечение учащихся к регулярным занятиям физической культурой и спортом.</w:t>
      </w:r>
    </w:p>
    <w:p w14:paraId="0C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Задачи:</w:t>
      </w:r>
    </w:p>
    <w:p w14:paraId="0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Формирование у обучающихся культуры здорового образа жизни, навыков сохранения собственного здоровья.</w:t>
      </w:r>
    </w:p>
    <w:p w14:paraId="0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Организация различных форм активного спортивно-оздоровительного отдыха обучающихся.</w:t>
      </w:r>
    </w:p>
    <w:p w14:paraId="0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Ожидаемые результаты:</w:t>
      </w:r>
    </w:p>
    <w:p w14:paraId="1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обучающихся. </w:t>
      </w:r>
    </w:p>
    <w:p w14:paraId="1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Рост числа обучающихся, участвующих в спортивно-массовых мероприятиях.</w:t>
      </w:r>
    </w:p>
    <w:p w14:paraId="1200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25"/>
        <w:gridCol w:w="2049"/>
        <w:gridCol w:w="136"/>
        <w:gridCol w:w="2730"/>
      </w:tblGrid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деятельности/ мероприятия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</w:tr>
      <w:tr>
        <w:tc>
          <w:tcPr>
            <w:tcW w:type="dxa" w:w="1024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Физкультурно-оздороовительные мероприятия в режиме учебного дня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физкультминуток, подвижных игр на переменах, гимнастики перед занятиями.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о режиме дня школьника.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подвижных игр на уроках физической культуры.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>
        <w:tc>
          <w:tcPr>
            <w:tcW w:type="dxa" w:w="1024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Спортивная работа в классах и секциях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часов здоровья.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часы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Здоровый образ</w:t>
            </w:r>
            <w:r>
              <w:rPr>
                <w:rFonts w:ascii="Times New Roman" w:hAnsi="Times New Roman"/>
                <w:sz w:val="24"/>
              </w:rPr>
              <w:t xml:space="preserve"> жизни».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1024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. Внеурочная работа в школе (в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соответствиц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с календарным планом)</w:t>
            </w:r>
          </w:p>
        </w:tc>
      </w:tr>
      <w:tr>
        <w:tc>
          <w:tcPr>
            <w:tcW w:type="dxa" w:w="1024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Агитация и пропаганда здорового образа жизни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рисунков на тему </w:t>
            </w:r>
            <w:r>
              <w:rPr>
                <w:rFonts w:ascii="Times New Roman" w:hAnsi="Times New Roman"/>
                <w:sz w:val="24"/>
              </w:rPr>
              <w:t>«Здоровье в движении».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цикла бесед по темам: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Утренняя гимнастика школьника</w:t>
            </w:r>
            <w:r>
              <w:rPr>
                <w:rFonts w:ascii="Times New Roman" w:hAnsi="Times New Roman"/>
                <w:sz w:val="24"/>
              </w:rPr>
              <w:t>»,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Гигиена школьника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Вредные привычки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Веселые старты.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Играем в шашки.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на переменах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Играем в шахматы.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Турниры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 пионербол.</w:t>
            </w:r>
          </w:p>
        </w:tc>
        <w:tc>
          <w:tcPr>
            <w:tcW w:type="dxa" w:w="2185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мини-футбол.</w:t>
            </w:r>
          </w:p>
        </w:tc>
        <w:tc>
          <w:tcPr>
            <w:tcW w:type="dxa" w:w="218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и весенний кроссы.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Лыжная эстафета.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Велокросс.</w:t>
            </w:r>
          </w:p>
        </w:tc>
        <w:tc>
          <w:tcPr>
            <w:tcW w:type="dxa" w:w="21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27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1024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V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Работа с родителями учащихся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родительские собрания:</w:t>
            </w:r>
          </w:p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Роль семьи в формировании здорового образа жизни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ЗОЖ начинается в семье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полугодие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организации и проведении спортивно-массовых мероприятий.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Консультации, беседы для родителей.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14:paraId="51000000"/>
    <w:p w14:paraId="52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2025-10-30T19:15:59Z</dcterms:modified>
</cp:coreProperties>
</file>